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Calibri" w:cs="Calibri" w:eastAsia="Calibri" w:hAnsi="Calibri"/>
          <w:b/>
          <w:bCs/>
          <w:sz w:val="36"/>
          <w:szCs w:val="36"/>
        </w:rPr>
        <w:t xml:space="preserve">Conflict of interest policy</w:t>
      </w:r>
    </w:p>
    <w:p>
      <w:pPr>
        <w:spacing w:after="240"/>
      </w:pPr>
      <w:r>
        <w:rPr>
          <w:rFonts w:ascii="Calibri" w:cs="Calibri" w:eastAsia="Calibri" w:hAnsi="Calibri"/>
          <w:i/>
          <w:iCs/>
          <w:color w:val="777777"/>
          <w:sz w:val="18"/>
          <w:szCs w:val="18"/>
        </w:rPr>
        <w:t xml:space="preserve">Free template from Ember, donewithember.com. Replace every [bracket]. Delete this line.</w:t>
      </w:r>
    </w:p>
    <w:p>
      <w:pPr>
        <w:spacing w:after="240"/>
      </w:pPr>
      <w:r>
        <w:rPr>
          <w:rFonts w:ascii="Calibri" w:cs="Calibri" w:eastAsia="Calibri" w:hAnsi="Calibri"/>
          <w:color w:val="333333"/>
          <w:sz w:val="20"/>
          <w:szCs w:val="20"/>
        </w:rPr>
        <w:t xml:space="preserve">Follows the structure of the sample policy in the IRS Instructions for Form 1023, Appendix A, in plainer words. A general template, not legal advice: have an attorney in your state review it before your board adopts it.</w:t>
      </w:r>
    </w:p>
    <w:p>
      <w:pPr>
        <w:spacing w:after="40"/>
      </w:pPr>
      <w:r>
        <w:rPr>
          <w:rFonts w:ascii="Calibri" w:cs="Calibri" w:eastAsia="Calibri" w:hAnsi="Calibri"/>
          <w:b/>
          <w:bCs/>
          <w:i w:val="false"/>
          <w:iCs w:val="false"/>
          <w:color w:val="000000"/>
          <w:sz w:val="26"/>
          <w:szCs w:val="26"/>
        </w:rPr>
        <w:t xml:space="preserve">Conflict of Interest Policy of [Organization Name]</w:t>
      </w:r>
    </w:p>
    <w:p>
      <w:pPr>
        <w:spacing w:after="200"/>
      </w:pPr>
      <w:r>
        <w:rPr>
          <w:rFonts w:ascii="Calibri" w:cs="Calibri" w:eastAsia="Calibri" w:hAnsi="Calibri"/>
          <w:b w:val="false"/>
          <w:bCs w:val="false"/>
          <w:i w:val="false"/>
          <w:iCs w:val="false"/>
          <w:color w:val="555555"/>
          <w:sz w:val="22"/>
          <w:szCs w:val="22"/>
        </w:rPr>
        <w:t xml:space="preserve">Adopted by the board of directors on [date].</w:t>
      </w:r>
    </w:p>
    <w:p>
      <w:pPr>
        <w:spacing w:after="140"/>
      </w:pPr>
      <w:r>
        <w:rPr>
          <w:rFonts w:ascii="Calibri" w:cs="Calibri" w:eastAsia="Calibri" w:hAnsi="Calibri"/>
          <w:b/>
          <w:bCs/>
          <w:sz w:val="22"/>
          <w:szCs w:val="22"/>
        </w:rPr>
        <w:t xml:space="preserve">Article I. Purpose</w:t>
      </w:r>
    </w:p>
    <w:p>
      <w:pPr>
        <w:spacing w:after="140"/>
      </w:pPr>
      <w:r>
        <w:rPr>
          <w:rFonts w:ascii="Calibri" w:cs="Calibri" w:eastAsia="Calibri" w:hAnsi="Calibri"/>
          <w:b w:val="false"/>
          <w:bCs w:val="false"/>
          <w:sz w:val="22"/>
          <w:szCs w:val="22"/>
        </w:rPr>
        <w:t xml:space="preserve">This policy protects the Organization's interests when it considers a transaction or arrangement that might benefit the private interest of a director, officer or key employee. It adds to, and does not replace, any state or federal law on conflicts of interest that applies to nonprofit and charitable organizations.</w:t>
      </w:r>
    </w:p>
    <w:p>
      <w:pPr>
        <w:spacing w:after="140"/>
      </w:pPr>
      <w:r>
        <w:rPr>
          <w:rFonts w:ascii="Calibri" w:cs="Calibri" w:eastAsia="Calibri" w:hAnsi="Calibri"/>
          <w:b/>
          <w:bCs/>
          <w:sz w:val="22"/>
          <w:szCs w:val="22"/>
        </w:rPr>
        <w:t xml:space="preserve">Article II. Definitions</w:t>
      </w:r>
    </w:p>
    <w:p>
      <w:pPr>
        <w:spacing w:after="140"/>
      </w:pPr>
      <w:r>
        <w:rPr>
          <w:rFonts w:ascii="Calibri" w:cs="Calibri" w:eastAsia="Calibri" w:hAnsi="Calibri"/>
          <w:b w:val="false"/>
          <w:bCs w:val="false"/>
          <w:sz w:val="22"/>
          <w:szCs w:val="22"/>
        </w:rPr>
        <w:t xml:space="preserve">1. Interested person. Any director, officer, key employee, or member of a committee with board-delegated powers who has a direct or indirect financial interest, as defined below.</w:t>
      </w:r>
    </w:p>
    <w:p>
      <w:pPr>
        <w:spacing w:after="140"/>
      </w:pPr>
      <w:r>
        <w:rPr>
          <w:rFonts w:ascii="Calibri" w:cs="Calibri" w:eastAsia="Calibri" w:hAnsi="Calibri"/>
          <w:b w:val="false"/>
          <w:bCs w:val="false"/>
          <w:sz w:val="22"/>
          <w:szCs w:val="22"/>
        </w:rPr>
        <w:t xml:space="preserve">2. Financial interest. A person has a financial interest if they have, directly or indirectly, through business, investment or family:</w:t>
      </w:r>
    </w:p>
    <w:p>
      <w:pPr>
        <w:pStyle w:val="ListParagraph"/>
        <w:numPr>
          <w:ilvl w:val="0"/>
          <w:numId w:val="2"/>
        </w:numPr>
        <w:spacing w:after="100"/>
      </w:pPr>
      <w:r>
        <w:rPr>
          <w:rFonts w:ascii="Calibri" w:cs="Calibri" w:eastAsia="Calibri" w:hAnsi="Calibri"/>
          <w:b w:val="false"/>
          <w:bCs w:val="false"/>
          <w:sz w:val="22"/>
          <w:szCs w:val="22"/>
        </w:rPr>
        <w:t xml:space="preserve">an ownership or investment interest in any business the Organization has a transaction or arrangement with;</w:t>
      </w:r>
    </w:p>
    <w:p>
      <w:pPr>
        <w:pStyle w:val="ListParagraph"/>
        <w:numPr>
          <w:ilvl w:val="0"/>
          <w:numId w:val="2"/>
        </w:numPr>
        <w:spacing w:after="100"/>
      </w:pPr>
      <w:r>
        <w:rPr>
          <w:rFonts w:ascii="Calibri" w:cs="Calibri" w:eastAsia="Calibri" w:hAnsi="Calibri"/>
          <w:b w:val="false"/>
          <w:bCs w:val="false"/>
          <w:sz w:val="22"/>
          <w:szCs w:val="22"/>
        </w:rPr>
        <w:t xml:space="preserve">a compensation arrangement with the Organization, or with any business or person the Organization has a transaction or arrangement with; or</w:t>
      </w:r>
    </w:p>
    <w:p>
      <w:pPr>
        <w:pStyle w:val="ListParagraph"/>
        <w:numPr>
          <w:ilvl w:val="0"/>
          <w:numId w:val="2"/>
        </w:numPr>
        <w:spacing w:after="100"/>
      </w:pPr>
      <w:r>
        <w:rPr>
          <w:rFonts w:ascii="Calibri" w:cs="Calibri" w:eastAsia="Calibri" w:hAnsi="Calibri"/>
          <w:b w:val="false"/>
          <w:bCs w:val="false"/>
          <w:sz w:val="22"/>
          <w:szCs w:val="22"/>
        </w:rPr>
        <w:t xml:space="preserve">a potential ownership or investment interest in, or compensation arrangement with, any business or person the Organization is negotiating a transaction or arrangement with.</w:t>
      </w:r>
    </w:p>
    <w:p>
      <w:pPr>
        <w:spacing w:after="140"/>
      </w:pPr>
      <w:r>
        <w:rPr>
          <w:rFonts w:ascii="Calibri" w:cs="Calibri" w:eastAsia="Calibri" w:hAnsi="Calibri"/>
          <w:b w:val="false"/>
          <w:bCs w:val="false"/>
          <w:sz w:val="22"/>
          <w:szCs w:val="22"/>
        </w:rPr>
        <w:t xml:space="preserve">Compensation includes direct and indirect pay, and gifts or favors that are not insubstantial. A financial interest is not necessarily a conflict of interest. Under Article III, the board decides whether a conflict exists.</w:t>
      </w:r>
    </w:p>
    <w:p>
      <w:pPr>
        <w:spacing w:after="140"/>
      </w:pPr>
      <w:r>
        <w:rPr>
          <w:rFonts w:ascii="Calibri" w:cs="Calibri" w:eastAsia="Calibri" w:hAnsi="Calibri"/>
          <w:b/>
          <w:bCs/>
          <w:sz w:val="22"/>
          <w:szCs w:val="22"/>
        </w:rPr>
        <w:t xml:space="preserve">Article III. Procedures</w:t>
      </w:r>
    </w:p>
    <w:p>
      <w:pPr>
        <w:spacing w:after="140"/>
      </w:pPr>
      <w:r>
        <w:rPr>
          <w:rFonts w:ascii="Calibri" w:cs="Calibri" w:eastAsia="Calibri" w:hAnsi="Calibri"/>
          <w:b w:val="false"/>
          <w:bCs w:val="false"/>
          <w:sz w:val="22"/>
          <w:szCs w:val="22"/>
        </w:rPr>
        <w:t xml:space="preserve">1. Duty to disclose. An interested person must disclose the financial interest, and all the material facts, to the board or committee considering the transaction or arrangement.</w:t>
      </w:r>
    </w:p>
    <w:p>
      <w:pPr>
        <w:spacing w:after="140"/>
      </w:pPr>
      <w:r>
        <w:rPr>
          <w:rFonts w:ascii="Calibri" w:cs="Calibri" w:eastAsia="Calibri" w:hAnsi="Calibri"/>
          <w:b w:val="false"/>
          <w:bCs w:val="false"/>
          <w:sz w:val="22"/>
          <w:szCs w:val="22"/>
        </w:rPr>
        <w:t xml:space="preserve">2. Deciding whether a conflict exists. After the disclosure and any discussion with the interested person, the interested person leaves the meeting while the remaining directors or committee members discuss and vote on whether a conflict of interest exists.</w:t>
      </w:r>
    </w:p>
    <w:p>
      <w:pPr>
        <w:spacing w:after="140"/>
      </w:pPr>
      <w:r>
        <w:rPr>
          <w:rFonts w:ascii="Calibri" w:cs="Calibri" w:eastAsia="Calibri" w:hAnsi="Calibri"/>
          <w:b w:val="false"/>
          <w:bCs w:val="false"/>
          <w:sz w:val="22"/>
          <w:szCs w:val="22"/>
        </w:rPr>
        <w:t xml:space="preserve">3. Handling a conflict.</w:t>
      </w:r>
    </w:p>
    <w:p>
      <w:pPr>
        <w:pStyle w:val="ListParagraph"/>
        <w:numPr>
          <w:ilvl w:val="0"/>
          <w:numId w:val="3"/>
        </w:numPr>
        <w:spacing w:after="100"/>
      </w:pPr>
      <w:r>
        <w:rPr>
          <w:rFonts w:ascii="Calibri" w:cs="Calibri" w:eastAsia="Calibri" w:hAnsi="Calibri"/>
          <w:b w:val="false"/>
          <w:bCs w:val="false"/>
          <w:sz w:val="22"/>
          <w:szCs w:val="22"/>
        </w:rPr>
        <w:t xml:space="preserve">The interested person may make a presentation at the meeting, but must then leave before the discussion of, and the vote on, the transaction or arrangement.</w:t>
      </w:r>
    </w:p>
    <w:p>
      <w:pPr>
        <w:pStyle w:val="ListParagraph"/>
        <w:numPr>
          <w:ilvl w:val="0"/>
          <w:numId w:val="3"/>
        </w:numPr>
        <w:spacing w:after="100"/>
      </w:pPr>
      <w:r>
        <w:rPr>
          <w:rFonts w:ascii="Calibri" w:cs="Calibri" w:eastAsia="Calibri" w:hAnsi="Calibri"/>
          <w:b w:val="false"/>
          <w:bCs w:val="false"/>
          <w:sz w:val="22"/>
          <w:szCs w:val="22"/>
        </w:rPr>
        <w:t xml:space="preserve">The chair may appoint a disinterested person or committee to look into alternatives.</w:t>
      </w:r>
    </w:p>
    <w:p>
      <w:pPr>
        <w:pStyle w:val="ListParagraph"/>
        <w:numPr>
          <w:ilvl w:val="0"/>
          <w:numId w:val="3"/>
        </w:numPr>
        <w:spacing w:after="100"/>
      </w:pPr>
      <w:r>
        <w:rPr>
          <w:rFonts w:ascii="Calibri" w:cs="Calibri" w:eastAsia="Calibri" w:hAnsi="Calibri"/>
          <w:b w:val="false"/>
          <w:bCs w:val="false"/>
          <w:sz w:val="22"/>
          <w:szCs w:val="22"/>
        </w:rPr>
        <w:t xml:space="preserve">After due diligence, the board or committee decides whether the Organization could get an equally good transaction or arrangement, with reasonable effort, from a person or business that would not give rise to a conflict.</w:t>
      </w:r>
    </w:p>
    <w:p>
      <w:pPr>
        <w:pStyle w:val="ListParagraph"/>
        <w:numPr>
          <w:ilvl w:val="0"/>
          <w:numId w:val="3"/>
        </w:numPr>
        <w:spacing w:after="100"/>
      </w:pPr>
      <w:r>
        <w:rPr>
          <w:rFonts w:ascii="Calibri" w:cs="Calibri" w:eastAsia="Calibri" w:hAnsi="Calibri"/>
          <w:b w:val="false"/>
          <w:bCs w:val="false"/>
          <w:sz w:val="22"/>
          <w:szCs w:val="22"/>
        </w:rPr>
        <w:t xml:space="preserve">If not, the board or committee decides by a majority vote of the disinterested directors present whether the transaction or arrangement is in the Organization's best interest, for its own benefit, and fair and reasonable. It then decides whether to enter into it.</w:t>
      </w:r>
    </w:p>
    <w:p>
      <w:pPr>
        <w:spacing w:after="140"/>
      </w:pPr>
      <w:r>
        <w:rPr>
          <w:rFonts w:ascii="Calibri" w:cs="Calibri" w:eastAsia="Calibri" w:hAnsi="Calibri"/>
          <w:b w:val="false"/>
          <w:bCs w:val="false"/>
          <w:sz w:val="22"/>
          <w:szCs w:val="22"/>
        </w:rPr>
        <w:t xml:space="preserve">4. Violations. If the board or committee has reason to believe someone failed to disclose an actual or possible conflict, it tells them so and gives them a chance to explain. If, after hearing the response and investigating as needed, it decides they failed to disclose, it takes appropriate disciplinary and corrective action.</w:t>
      </w:r>
    </w:p>
    <w:p>
      <w:pPr>
        <w:spacing w:after="140"/>
      </w:pPr>
      <w:r>
        <w:rPr>
          <w:rFonts w:ascii="Calibri" w:cs="Calibri" w:eastAsia="Calibri" w:hAnsi="Calibri"/>
          <w:b/>
          <w:bCs/>
          <w:sz w:val="22"/>
          <w:szCs w:val="22"/>
        </w:rPr>
        <w:t xml:space="preserve">Article IV. Records of proceedings</w:t>
      </w:r>
    </w:p>
    <w:p>
      <w:pPr>
        <w:spacing w:after="140"/>
      </w:pPr>
      <w:r>
        <w:rPr>
          <w:rFonts w:ascii="Calibri" w:cs="Calibri" w:eastAsia="Calibri" w:hAnsi="Calibri"/>
          <w:b w:val="false"/>
          <w:bCs w:val="false"/>
          <w:sz w:val="22"/>
          <w:szCs w:val="22"/>
        </w:rPr>
        <w:t xml:space="preserve">The minutes of the board and of any committee record: the names of the people who disclosed or were found to have a financial interest, the nature of the interest, any action taken to decide whether a conflict existed, and the board's or committee's decision; and the names of the people present for the discussion and votes on the transaction or arrangement, what was discussed including any alternatives, and a record of the vote.</w:t>
      </w:r>
    </w:p>
    <w:p>
      <w:pPr>
        <w:spacing w:after="140"/>
      </w:pPr>
      <w:r>
        <w:rPr>
          <w:rFonts w:ascii="Calibri" w:cs="Calibri" w:eastAsia="Calibri" w:hAnsi="Calibri"/>
          <w:b/>
          <w:bCs/>
          <w:sz w:val="22"/>
          <w:szCs w:val="22"/>
        </w:rPr>
        <w:t xml:space="preserve">Article V. Compensation</w:t>
      </w:r>
    </w:p>
    <w:p>
      <w:pPr>
        <w:spacing w:after="140"/>
      </w:pPr>
      <w:r>
        <w:rPr>
          <w:rFonts w:ascii="Calibri" w:cs="Calibri" w:eastAsia="Calibri" w:hAnsi="Calibri"/>
          <w:b w:val="false"/>
          <w:bCs w:val="false"/>
          <w:sz w:val="22"/>
          <w:szCs w:val="22"/>
        </w:rPr>
        <w:t xml:space="preserve">A voting member of the board, or of a committee whose jurisdiction includes compensation, who receives pay from the Organization directly or indirectly, may not vote on matters about that pay. They may provide information to the board or committee about it.</w:t>
      </w:r>
    </w:p>
    <w:p>
      <w:pPr>
        <w:spacing w:after="140"/>
      </w:pPr>
      <w:r>
        <w:rPr>
          <w:rFonts w:ascii="Calibri" w:cs="Calibri" w:eastAsia="Calibri" w:hAnsi="Calibri"/>
          <w:b/>
          <w:bCs/>
          <w:sz w:val="22"/>
          <w:szCs w:val="22"/>
        </w:rPr>
        <w:t xml:space="preserve">Article VI. Annual statements</w:t>
      </w:r>
    </w:p>
    <w:p>
      <w:pPr>
        <w:spacing w:after="140"/>
      </w:pPr>
      <w:r>
        <w:rPr>
          <w:rFonts w:ascii="Calibri" w:cs="Calibri" w:eastAsia="Calibri" w:hAnsi="Calibri"/>
          <w:b w:val="false"/>
          <w:bCs w:val="false"/>
          <w:sz w:val="22"/>
          <w:szCs w:val="22"/>
        </w:rPr>
        <w:t xml:space="preserve">Each director, officer and member of a committee with board-delegated powers signs a statement each year that they have received a copy of this policy, have read and understood it, have agreed to comply with it, and understand that the Organization is charitable and, to keep its federal tax exemption, must engage primarily in activities that accomplish one or more of its tax-exempt purposes.</w:t>
      </w:r>
    </w:p>
    <w:p>
      <w:pPr>
        <w:spacing w:after="140"/>
      </w:pPr>
      <w:r>
        <w:rPr>
          <w:rFonts w:ascii="Calibri" w:cs="Calibri" w:eastAsia="Calibri" w:hAnsi="Calibri"/>
          <w:b/>
          <w:bCs/>
          <w:sz w:val="22"/>
          <w:szCs w:val="22"/>
        </w:rPr>
        <w:t xml:space="preserve">Article VII. Periodic reviews</w:t>
      </w:r>
    </w:p>
    <w:p>
      <w:pPr>
        <w:spacing w:after="140"/>
      </w:pPr>
      <w:r>
        <w:rPr>
          <w:rFonts w:ascii="Calibri" w:cs="Calibri" w:eastAsia="Calibri" w:hAnsi="Calibri"/>
          <w:b w:val="false"/>
          <w:bCs w:val="false"/>
          <w:sz w:val="22"/>
          <w:szCs w:val="22"/>
        </w:rPr>
        <w:t xml:space="preserve">To make sure the Organization operates in a way consistent with its charitable purposes and does not put its tax exemption at risk, it reviews from time to time: whether its compensation arrangements and benefits are reasonable, based on competent survey information, and the result of arm's-length bargaining; and whether any partnerships, joint ventures and arrangements with management organizations follow its written policies, are properly recorded, reflect reasonable payments for goods and services, further its charitable purposes, and do not result in private benefit or inurement.</w:t>
      </w:r>
    </w:p>
    <w:p>
      <w:pPr>
        <w:spacing w:after="140"/>
      </w:pPr>
      <w:r>
        <w:rPr>
          <w:rFonts w:ascii="Calibri" w:cs="Calibri" w:eastAsia="Calibri" w:hAnsi="Calibri"/>
          <w:b/>
          <w:bCs/>
          <w:sz w:val="22"/>
          <w:szCs w:val="22"/>
        </w:rPr>
        <w:t xml:space="preserve">Article VIII. Use of outside experts</w:t>
      </w:r>
    </w:p>
    <w:p>
      <w:pPr>
        <w:spacing w:after="140"/>
      </w:pPr>
      <w:r>
        <w:rPr>
          <w:rFonts w:ascii="Calibri" w:cs="Calibri" w:eastAsia="Calibri" w:hAnsi="Calibri"/>
          <w:b w:val="false"/>
          <w:bCs w:val="false"/>
          <w:sz w:val="22"/>
          <w:szCs w:val="22"/>
        </w:rPr>
        <w:t xml:space="preserve">The Organization may use outside advisors for these reviews. If it does, the board is still responsible for making sure the reviews are done.</w:t>
      </w:r>
    </w:p>
    <w:p>
      <w:pPr>
        <w:spacing w:after="140"/>
      </w:pPr>
      <w:r>
        <w:rPr>
          <w:rFonts w:ascii="Calibri" w:cs="Calibri" w:eastAsia="Calibri" w:hAnsi="Calibri"/>
          <w:b/>
          <w:bCs/>
          <w:sz w:val="22"/>
          <w:szCs w:val="22"/>
        </w:rPr>
        <w:t xml:space="preserve">Annual statement</w:t>
      </w:r>
    </w:p>
    <w:p>
      <w:pPr>
        <w:spacing w:after="140"/>
      </w:pPr>
      <w:r>
        <w:rPr>
          <w:rFonts w:ascii="Calibri" w:cs="Calibri" w:eastAsia="Calibri" w:hAnsi="Calibri"/>
          <w:b w:val="false"/>
          <w:bCs w:val="false"/>
          <w:sz w:val="22"/>
          <w:szCs w:val="22"/>
        </w:rPr>
        <w:t xml:space="preserve">I have received, read and understood the Conflict of Interest Policy of [Organization Name], and I agree to comply with it. I understand that the Organization is charitable and, to keep its federal tax exemption, must engage primarily in activities that accomplish its tax-exempt purposes.</w:t>
      </w:r>
    </w:p>
    <w:p>
      <w:pPr>
        <w:spacing w:after="140"/>
      </w:pPr>
      <w:r>
        <w:rPr>
          <w:rFonts w:ascii="Calibri" w:cs="Calibri" w:eastAsia="Calibri" w:hAnsi="Calibri"/>
          <w:b w:val="false"/>
          <w:bCs w:val="false"/>
          <w:sz w:val="22"/>
          <w:szCs w:val="22"/>
        </w:rPr>
        <w:t xml:space="preserve">Financial interests to disclose (write "none" if none): ______________________</w:t>
      </w:r>
    </w:p>
    <w:p>
      <w:pPr>
        <w:spacing w:after="140"/>
      </w:pPr>
      <w:r>
        <w:rPr>
          <w:rFonts w:ascii="Calibri" w:cs="Calibri" w:eastAsia="Calibri" w:hAnsi="Calibri"/>
          <w:b w:val="false"/>
          <w:bCs w:val="false"/>
          <w:sz w:val="22"/>
          <w:szCs w:val="22"/>
        </w:rPr>
        <w:t xml:space="preserve">Name: ______________________ Role: ______________ Signature: ______________________ Date: 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30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abstractNum w:abstractNumId="12" w15:restartNumberingAfterBreak="0">
    <w:multiLevelType w:val="hybridMultilevel"/>
    <w:lvl w:ilvl="0" w15:tentative="1">
      <w:start w:val="1"/>
      <w:numFmt w:val="decimal"/>
      <w:lvlText w:val="%1."/>
      <w:lvlJc w:val="left"/>
      <w:pPr>
        <w:ind w:left="540" w:hanging="360"/>
      </w:pPr>
    </w:lvl>
  </w:abstractNum>
  <w:abstractNum w:abstractNumId="13" w15:restartNumberingAfterBreak="0">
    <w:multiLevelType w:val="hybridMultilevel"/>
    <w:lvl w:ilvl="0" w15:tentative="1">
      <w:start w:val="1"/>
      <w:numFmt w:val="decimal"/>
      <w:lvlText w:val="%1."/>
      <w:lvlJc w:val="left"/>
      <w:pPr>
        <w:ind w:left="540" w:hanging="360"/>
      </w:pPr>
    </w:lvl>
  </w:abstractNum>
  <w:abstractNum w:abstractNumId="14"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5"/>
    <w:lvlOverride w:ilvl="0">
      <w:startOverride w:val="1"/>
    </w:lvlOverride>
  </w:num>
  <w:num w:numId="3">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2026-09-24T22:56:40.099Z</dcterms:created>
  <dcterms:modified xsi:type="dcterms:W3CDTF">2026-09-24T22:56:40.099Z</dcterms:modified>
</cp:coreProperties>
</file>

<file path=docProps/custom.xml><?xml version="1.0" encoding="utf-8"?>
<Properties xmlns="http://schemas.openxmlformats.org/officeDocument/2006/custom-properties" xmlns:vt="http://schemas.openxmlformats.org/officeDocument/2006/docPropsVTypes"/>
</file>